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E938B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938BD" w:rsidP="00132FC5">
      <w:pPr>
        <w:spacing w:after="0"/>
        <w:jc w:val="center"/>
        <w:rPr>
          <w:rFonts w:ascii="Times New Roman" w:hAnsi="Times New Roman"/>
          <w:sz w:val="28"/>
          <w:szCs w:val="28"/>
        </w:rPr>
      </w:pPr>
      <w:r>
        <w:rPr>
          <w:rFonts w:ascii="Times New Roman" w:hAnsi="Times New Roman"/>
          <w:sz w:val="28"/>
          <w:szCs w:val="28"/>
        </w:rPr>
        <w:t>28.04</w:t>
      </w:r>
      <w:r w:rsidR="00DD5ED9">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DD5ED9">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DD5ED9">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D5ED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F32066" w:rsidRPr="00F32066" w:rsidRDefault="00DD5ED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38BD" w:rsidP="00F32066">
      <w:pPr>
        <w:spacing w:after="0" w:line="240" w:lineRule="auto"/>
        <w:jc w:val="right"/>
        <w:rPr>
          <w:rFonts w:ascii="Times New Roman" w:hAnsi="Times New Roman"/>
          <w:sz w:val="24"/>
          <w:szCs w:val="24"/>
        </w:rPr>
      </w:pPr>
      <w:r>
        <w:rPr>
          <w:rFonts w:ascii="Times New Roman" w:hAnsi="Times New Roman"/>
          <w:sz w:val="24"/>
          <w:szCs w:val="24"/>
        </w:rPr>
        <w:t>от 28.04</w:t>
      </w:r>
      <w:r w:rsidR="00132FC5">
        <w:rPr>
          <w:rFonts w:ascii="Times New Roman" w:hAnsi="Times New Roman"/>
          <w:sz w:val="24"/>
          <w:szCs w:val="24"/>
        </w:rPr>
        <w:t>.</w:t>
      </w:r>
      <w:r w:rsidR="00DD5ED9">
        <w:rPr>
          <w:rFonts w:ascii="Times New Roman" w:hAnsi="Times New Roman"/>
          <w:sz w:val="24"/>
          <w:szCs w:val="24"/>
        </w:rPr>
        <w:t>2017</w:t>
      </w:r>
      <w:r w:rsidR="00320D4F" w:rsidRPr="00F32066">
        <w:rPr>
          <w:rFonts w:ascii="Times New Roman" w:hAnsi="Times New Roman"/>
          <w:sz w:val="24"/>
          <w:szCs w:val="24"/>
        </w:rPr>
        <w:t xml:space="preserve"> № </w:t>
      </w:r>
      <w:r>
        <w:rPr>
          <w:rFonts w:ascii="Times New Roman" w:hAnsi="Times New Roman"/>
          <w:sz w:val="24"/>
          <w:szCs w:val="24"/>
        </w:rPr>
        <w:t>47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DD5ED9">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за </w:t>
      </w:r>
      <w:r w:rsidR="00DD5ED9">
        <w:rPr>
          <w:rFonts w:ascii="Times New Roman" w:hAnsi="Times New Roman"/>
          <w:sz w:val="28"/>
          <w:szCs w:val="28"/>
        </w:rPr>
        <w:t xml:space="preserve"> 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33</w:t>
            </w:r>
            <w:r w:rsidR="00772E3C">
              <w:rPr>
                <w:rFonts w:ascii="Times New Roman" w:hAnsi="Times New Roman"/>
                <w:lang w:eastAsia="en-US"/>
              </w:rPr>
              <w:t>,8</w:t>
            </w:r>
          </w:p>
        </w:tc>
        <w:tc>
          <w:tcPr>
            <w:tcW w:w="1417"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33</w:t>
            </w:r>
            <w:r w:rsidR="00772E3C">
              <w:rPr>
                <w:rFonts w:ascii="Times New Roman" w:hAnsi="Times New Roman"/>
                <w:lang w:eastAsia="en-US"/>
              </w:rPr>
              <w:t>,8</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209E">
              <w:rPr>
                <w:rFonts w:ascii="Times New Roman" w:hAnsi="Times New Roman"/>
                <w:sz w:val="24"/>
                <w:szCs w:val="24"/>
              </w:rPr>
              <w:t>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209E">
              <w:rPr>
                <w:rFonts w:ascii="Times New Roman" w:hAnsi="Times New Roman"/>
                <w:sz w:val="24"/>
                <w:szCs w:val="24"/>
              </w:rPr>
              <w:t>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AB209E">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Количество должностных лиц Администрации Красновского сельского поселения, имеющих </w:t>
            </w:r>
            <w:r w:rsidR="00E938BD" w:rsidRPr="00AB3A99">
              <w:rPr>
                <w:rFonts w:ascii="Times New Roman" w:hAnsi="Times New Roman"/>
                <w:sz w:val="24"/>
                <w:szCs w:val="24"/>
              </w:rPr>
              <w:t>ключ электронной</w:t>
            </w:r>
            <w:r w:rsidRPr="00AB3A99">
              <w:rPr>
                <w:rFonts w:ascii="Times New Roman" w:hAnsi="Times New Roman"/>
                <w:sz w:val="24"/>
                <w:szCs w:val="24"/>
              </w:rPr>
              <w:t xml:space="preserve">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AB209E">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E938BD"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c>
          <w:tcPr>
            <w:tcW w:w="1559"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c>
          <w:tcPr>
            <w:tcW w:w="1559"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w:t>
            </w:r>
            <w:r w:rsidR="00DD5ED9">
              <w:rPr>
                <w:rFonts w:ascii="Times New Roman" w:hAnsi="Times New Roman"/>
                <w:bCs/>
                <w:iCs/>
                <w:sz w:val="28"/>
                <w:szCs w:val="28"/>
              </w:rPr>
              <w:t>6</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DD5ED9" w:rsidP="002779E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DD5ED9">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DD5ED9">
        <w:rPr>
          <w:sz w:val="28"/>
          <w:szCs w:val="28"/>
        </w:rPr>
        <w:t xml:space="preserve"> за 2016</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DD5ED9">
        <w:rPr>
          <w:rFonts w:ascii="Times New Roman" w:hAnsi="Times New Roman"/>
          <w:sz w:val="28"/>
          <w:szCs w:val="28"/>
        </w:rPr>
        <w:t xml:space="preserve"> муниципальной программы в 2016</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Pr>
          <w:rFonts w:ascii="Times New Roman" w:hAnsi="Times New Roman"/>
          <w:sz w:val="28"/>
          <w:szCs w:val="28"/>
        </w:rPr>
        <w:t xml:space="preserve"> значения по 2 показателям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DD5ED9">
        <w:rPr>
          <w:rFonts w:ascii="Times New Roman" w:hAnsi="Times New Roman"/>
          <w:sz w:val="28"/>
          <w:szCs w:val="28"/>
        </w:rPr>
        <w:t>016</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DD5ED9">
        <w:rPr>
          <w:rFonts w:ascii="Times New Roman" w:hAnsi="Times New Roman"/>
          <w:sz w:val="28"/>
          <w:szCs w:val="28"/>
        </w:rPr>
        <w:t>в местного бюджета составил 100</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DD5ED9">
        <w:rPr>
          <w:rFonts w:ascii="Times New Roman" w:hAnsi="Times New Roman"/>
          <w:sz w:val="28"/>
          <w:szCs w:val="28"/>
        </w:rPr>
        <w:t>ы по результатам за 2016</w:t>
      </w:r>
      <w:r w:rsidRPr="00535C49">
        <w:rPr>
          <w:rFonts w:ascii="Times New Roman" w:hAnsi="Times New Roman"/>
          <w:sz w:val="28"/>
          <w:szCs w:val="28"/>
        </w:rPr>
        <w:t xml:space="preserve"> год в основном дост</w:t>
      </w:r>
      <w:r w:rsidR="00D2282A">
        <w:rPr>
          <w:rFonts w:ascii="Times New Roman" w:hAnsi="Times New Roman"/>
          <w:sz w:val="28"/>
          <w:szCs w:val="28"/>
        </w:rPr>
        <w:t>игнуты, выполнение составило 84</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D5ED9"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535C49" w:rsidRPr="00F32066" w:rsidRDefault="00DD5ED9"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DA4" w:rsidRDefault="00C47DA4" w:rsidP="009258AD">
      <w:pPr>
        <w:spacing w:after="0" w:line="240" w:lineRule="auto"/>
      </w:pPr>
      <w:r>
        <w:separator/>
      </w:r>
    </w:p>
  </w:endnote>
  <w:endnote w:type="continuationSeparator" w:id="0">
    <w:p w:rsidR="00C47DA4" w:rsidRDefault="00C47DA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DA4" w:rsidRDefault="00C47DA4" w:rsidP="009258AD">
      <w:pPr>
        <w:spacing w:after="0" w:line="240" w:lineRule="auto"/>
      </w:pPr>
      <w:r>
        <w:separator/>
      </w:r>
    </w:p>
  </w:footnote>
  <w:footnote w:type="continuationSeparator" w:id="0">
    <w:p w:rsidR="00C47DA4" w:rsidRDefault="00C47DA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A79"/>
    <w:rsid w:val="00137DC1"/>
    <w:rsid w:val="00157194"/>
    <w:rsid w:val="00163B16"/>
    <w:rsid w:val="001A443A"/>
    <w:rsid w:val="00221111"/>
    <w:rsid w:val="00253CE4"/>
    <w:rsid w:val="00255345"/>
    <w:rsid w:val="002730FE"/>
    <w:rsid w:val="002779EC"/>
    <w:rsid w:val="00320D4F"/>
    <w:rsid w:val="003721EC"/>
    <w:rsid w:val="003A4CF6"/>
    <w:rsid w:val="00413665"/>
    <w:rsid w:val="004323FA"/>
    <w:rsid w:val="00441462"/>
    <w:rsid w:val="00446DB9"/>
    <w:rsid w:val="00447754"/>
    <w:rsid w:val="0045522D"/>
    <w:rsid w:val="00473A4E"/>
    <w:rsid w:val="004945B4"/>
    <w:rsid w:val="004D1A30"/>
    <w:rsid w:val="00530B99"/>
    <w:rsid w:val="00535C49"/>
    <w:rsid w:val="005C586D"/>
    <w:rsid w:val="006050ED"/>
    <w:rsid w:val="006449A9"/>
    <w:rsid w:val="0067197E"/>
    <w:rsid w:val="00727022"/>
    <w:rsid w:val="00772E3C"/>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71B6F"/>
    <w:rsid w:val="00BB3A23"/>
    <w:rsid w:val="00BD301B"/>
    <w:rsid w:val="00C10753"/>
    <w:rsid w:val="00C47DA4"/>
    <w:rsid w:val="00C52968"/>
    <w:rsid w:val="00C7136A"/>
    <w:rsid w:val="00C76264"/>
    <w:rsid w:val="00C9678D"/>
    <w:rsid w:val="00CD7316"/>
    <w:rsid w:val="00D20B8E"/>
    <w:rsid w:val="00D2282A"/>
    <w:rsid w:val="00DC7431"/>
    <w:rsid w:val="00DD5ED9"/>
    <w:rsid w:val="00DF11BE"/>
    <w:rsid w:val="00E007BD"/>
    <w:rsid w:val="00E25D60"/>
    <w:rsid w:val="00E90D5D"/>
    <w:rsid w:val="00E938B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7D2539-D892-44C9-A802-CD047BC6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2EC4-40E9-47AE-B7E1-28BA7095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10026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2017-04-21T08:09:00Z</cp:lastPrinted>
  <dcterms:created xsi:type="dcterms:W3CDTF">2025-07-10T06:27:00Z</dcterms:created>
  <dcterms:modified xsi:type="dcterms:W3CDTF">2025-07-10T06:27:00Z</dcterms:modified>
</cp:coreProperties>
</file>